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033E" w14:textId="44384C90" w:rsidR="006449E0" w:rsidRPr="00681F4F" w:rsidRDefault="001D766C" w:rsidP="001D766C">
      <w:pPr>
        <w:jc w:val="center"/>
        <w:rPr>
          <w:b/>
        </w:rPr>
      </w:pPr>
      <w:r w:rsidRPr="00681F4F">
        <w:rPr>
          <w:b/>
        </w:rPr>
        <w:t xml:space="preserve">Minutes of the </w:t>
      </w:r>
      <w:r w:rsidR="00681F4F">
        <w:rPr>
          <w:b/>
        </w:rPr>
        <w:t>38</w:t>
      </w:r>
      <w:r w:rsidR="00681F4F" w:rsidRPr="00681F4F">
        <w:rPr>
          <w:b/>
          <w:vertAlign w:val="superscript"/>
        </w:rPr>
        <w:t>th</w:t>
      </w:r>
      <w:r w:rsidR="00681F4F">
        <w:rPr>
          <w:b/>
        </w:rPr>
        <w:t xml:space="preserve"> </w:t>
      </w:r>
      <w:r w:rsidRPr="00681F4F">
        <w:rPr>
          <w:b/>
        </w:rPr>
        <w:t>meeting of the Neighbourhood Plan Steering Group</w:t>
      </w:r>
    </w:p>
    <w:p w14:paraId="0803F507" w14:textId="26FC6353" w:rsidR="001D766C" w:rsidRPr="00681F4F" w:rsidRDefault="001D766C" w:rsidP="001D766C">
      <w:pPr>
        <w:jc w:val="center"/>
        <w:rPr>
          <w:b/>
        </w:rPr>
      </w:pPr>
      <w:r w:rsidRPr="00681F4F">
        <w:rPr>
          <w:b/>
        </w:rPr>
        <w:t>Held on Wednesday 9</w:t>
      </w:r>
      <w:r w:rsidRPr="00681F4F">
        <w:rPr>
          <w:b/>
          <w:vertAlign w:val="superscript"/>
        </w:rPr>
        <w:t>th</w:t>
      </w:r>
      <w:r w:rsidRPr="00681F4F">
        <w:rPr>
          <w:b/>
        </w:rPr>
        <w:t xml:space="preserve"> January 2019 at 7:30pm</w:t>
      </w:r>
    </w:p>
    <w:p w14:paraId="3B7B2CC3" w14:textId="487D6767" w:rsidR="001D766C" w:rsidRPr="00681F4F" w:rsidRDefault="001D766C" w:rsidP="001D766C">
      <w:pPr>
        <w:jc w:val="center"/>
        <w:rPr>
          <w:b/>
        </w:rPr>
      </w:pPr>
      <w:r w:rsidRPr="00681F4F">
        <w:rPr>
          <w:b/>
        </w:rPr>
        <w:t>In Tetsworth Memorial Hall</w:t>
      </w:r>
    </w:p>
    <w:p w14:paraId="0DF4A62D" w14:textId="7D97B1F5" w:rsidR="001D766C" w:rsidRDefault="001D766C" w:rsidP="001D766C"/>
    <w:p w14:paraId="3F930B40" w14:textId="07236AD9" w:rsidR="001D766C" w:rsidRDefault="001D766C" w:rsidP="001D766C"/>
    <w:p w14:paraId="74C6BD14" w14:textId="07509597" w:rsidR="001D766C" w:rsidRDefault="001D766C" w:rsidP="001D766C"/>
    <w:p w14:paraId="18C0DD88" w14:textId="0DF964F7" w:rsidR="001D766C" w:rsidRDefault="001D766C" w:rsidP="001D766C">
      <w:r>
        <w:t>Present:</w:t>
      </w:r>
      <w:r>
        <w:tab/>
        <w:t xml:space="preserve">John Gilbert (JG) (Chairman), Gaynor </w:t>
      </w:r>
      <w:proofErr w:type="spellStart"/>
      <w:r>
        <w:t>Sellors</w:t>
      </w:r>
      <w:proofErr w:type="spellEnd"/>
      <w:r>
        <w:t xml:space="preserve"> (GS), Max </w:t>
      </w:r>
      <w:proofErr w:type="spellStart"/>
      <w:r>
        <w:t>Sellors</w:t>
      </w:r>
      <w:proofErr w:type="spellEnd"/>
      <w:r>
        <w:t xml:space="preserve"> (MS), Caroline </w:t>
      </w:r>
      <w:proofErr w:type="spellStart"/>
      <w:r>
        <w:t>Cann</w:t>
      </w:r>
      <w:proofErr w:type="spellEnd"/>
      <w:r>
        <w:t xml:space="preserve"> </w:t>
      </w:r>
      <w:r>
        <w:tab/>
      </w:r>
      <w:r>
        <w:tab/>
        <w:t>(CC), Gillia</w:t>
      </w:r>
      <w:r w:rsidR="00604CBC">
        <w:t>n</w:t>
      </w:r>
      <w:r>
        <w:t xml:space="preserve"> Copsey (GC), Aidan Lynch (AL), </w:t>
      </w:r>
      <w:proofErr w:type="spellStart"/>
      <w:r>
        <w:t>Rajen</w:t>
      </w:r>
      <w:proofErr w:type="spellEnd"/>
      <w:r>
        <w:t xml:space="preserve"> </w:t>
      </w:r>
      <w:proofErr w:type="spellStart"/>
      <w:r>
        <w:t>Nathwani</w:t>
      </w:r>
      <w:proofErr w:type="spellEnd"/>
      <w:r>
        <w:t xml:space="preserve"> (RN)</w:t>
      </w:r>
    </w:p>
    <w:p w14:paraId="39FF7124" w14:textId="77777777" w:rsidR="001D766C" w:rsidRDefault="001D766C" w:rsidP="001D766C"/>
    <w:p w14:paraId="17A4378A" w14:textId="4319C4A9" w:rsidR="001D766C" w:rsidRDefault="001D766C" w:rsidP="001D766C">
      <w:r>
        <w:t xml:space="preserve">1 </w:t>
      </w:r>
      <w:r w:rsidRPr="00495579">
        <w:rPr>
          <w:b/>
        </w:rPr>
        <w:t>Apologies for absence</w:t>
      </w:r>
    </w:p>
    <w:p w14:paraId="42652520" w14:textId="675FCEE1" w:rsidR="001D766C" w:rsidRDefault="001D766C" w:rsidP="001D766C">
      <w:r>
        <w:t>Apologies for absence were received from Karen Harris (KH)</w:t>
      </w:r>
    </w:p>
    <w:p w14:paraId="6190798F" w14:textId="77777777" w:rsidR="001D766C" w:rsidRDefault="001D766C" w:rsidP="001D766C"/>
    <w:p w14:paraId="1517FAE2" w14:textId="77777777" w:rsidR="001D766C" w:rsidRDefault="001D766C" w:rsidP="001D766C">
      <w:pPr>
        <w:rPr>
          <w:b/>
        </w:rPr>
      </w:pPr>
      <w:r>
        <w:t xml:space="preserve">2 </w:t>
      </w:r>
      <w:r w:rsidRPr="005F68EB">
        <w:rPr>
          <w:b/>
        </w:rPr>
        <w:t>Minutes of the meeting</w:t>
      </w:r>
      <w:r>
        <w:rPr>
          <w:b/>
        </w:rPr>
        <w:t xml:space="preserve"> of 7</w:t>
      </w:r>
      <w:r w:rsidRPr="001D766C">
        <w:rPr>
          <w:b/>
          <w:vertAlign w:val="superscript"/>
        </w:rPr>
        <w:t>th</w:t>
      </w:r>
      <w:r>
        <w:rPr>
          <w:b/>
        </w:rPr>
        <w:t xml:space="preserve"> November. </w:t>
      </w:r>
    </w:p>
    <w:p w14:paraId="3D4E180A" w14:textId="4E9A6B6C" w:rsidR="001D766C" w:rsidRDefault="001D766C" w:rsidP="001D766C">
      <w:r w:rsidRPr="001D766C">
        <w:t>Amendments were agreed and voted on and will be signed off at the meeting held on the 13</w:t>
      </w:r>
      <w:r w:rsidRPr="001D766C">
        <w:rPr>
          <w:vertAlign w:val="superscript"/>
        </w:rPr>
        <w:t>th</w:t>
      </w:r>
      <w:r w:rsidRPr="001D766C">
        <w:t xml:space="preserve"> February.</w:t>
      </w:r>
    </w:p>
    <w:p w14:paraId="30269D59" w14:textId="546F3EDD" w:rsidR="001D766C" w:rsidRDefault="001D766C" w:rsidP="001D766C">
      <w:pPr>
        <w:rPr>
          <w:b/>
        </w:rPr>
      </w:pPr>
      <w:r>
        <w:rPr>
          <w:b/>
        </w:rPr>
        <w:tab/>
      </w:r>
      <w:r w:rsidRPr="001D766C">
        <w:rPr>
          <w:b/>
        </w:rPr>
        <w:t>Minutes of the meeting of 6</w:t>
      </w:r>
      <w:r w:rsidRPr="001D766C">
        <w:rPr>
          <w:b/>
          <w:vertAlign w:val="superscript"/>
        </w:rPr>
        <w:t>th</w:t>
      </w:r>
      <w:r w:rsidRPr="001D766C">
        <w:rPr>
          <w:b/>
        </w:rPr>
        <w:t xml:space="preserve"> December</w:t>
      </w:r>
      <w:r>
        <w:rPr>
          <w:b/>
        </w:rPr>
        <w:t xml:space="preserve">. </w:t>
      </w:r>
    </w:p>
    <w:p w14:paraId="27BAD61D" w14:textId="3A885951" w:rsidR="001D766C" w:rsidRDefault="001D766C" w:rsidP="001D766C">
      <w:r w:rsidRPr="001D766C">
        <w:t>Amendments were agreed</w:t>
      </w:r>
      <w:r>
        <w:rPr>
          <w:b/>
        </w:rPr>
        <w:t xml:space="preserve"> </w:t>
      </w:r>
      <w:r w:rsidRPr="001D766C">
        <w:t xml:space="preserve">and </w:t>
      </w:r>
      <w:r w:rsidR="00604CBC">
        <w:t xml:space="preserve">voted on and </w:t>
      </w:r>
      <w:r w:rsidRPr="001D766C">
        <w:t>will be signed off at the meeting held on the 13</w:t>
      </w:r>
      <w:r w:rsidRPr="001D766C">
        <w:rPr>
          <w:vertAlign w:val="superscript"/>
        </w:rPr>
        <w:t>th</w:t>
      </w:r>
      <w:r w:rsidRPr="001D766C">
        <w:t xml:space="preserve"> February.</w:t>
      </w:r>
    </w:p>
    <w:p w14:paraId="35F7CE74" w14:textId="50117EC7" w:rsidR="001D766C" w:rsidRPr="001D766C" w:rsidRDefault="001D766C" w:rsidP="001D766C">
      <w:pPr>
        <w:rPr>
          <w:b/>
        </w:rPr>
      </w:pPr>
    </w:p>
    <w:p w14:paraId="4049BB03" w14:textId="77777777" w:rsidR="001D766C" w:rsidRPr="001D766C" w:rsidRDefault="001D766C" w:rsidP="001D766C"/>
    <w:p w14:paraId="67983855" w14:textId="4ACB94D4" w:rsidR="001D766C" w:rsidRDefault="001D766C" w:rsidP="001D766C">
      <w:r>
        <w:t>3</w:t>
      </w:r>
      <w:r>
        <w:tab/>
        <w:t xml:space="preserve"> </w:t>
      </w:r>
      <w:r w:rsidRPr="005F68EB">
        <w:rPr>
          <w:b/>
        </w:rPr>
        <w:t>Declarations of interest</w:t>
      </w:r>
    </w:p>
    <w:p w14:paraId="55B5F157" w14:textId="7F195C1C" w:rsidR="001D766C" w:rsidRDefault="001D766C" w:rsidP="001D766C">
      <w:r>
        <w:t>There were no declarations of interest.</w:t>
      </w:r>
    </w:p>
    <w:p w14:paraId="0AEF88E0" w14:textId="22629FAA" w:rsidR="001D766C" w:rsidRDefault="001D766C" w:rsidP="001D766C"/>
    <w:p w14:paraId="3C940FA1" w14:textId="3276C7B4" w:rsidR="001D766C" w:rsidRPr="001D766C" w:rsidRDefault="001D766C" w:rsidP="001D766C">
      <w:pPr>
        <w:rPr>
          <w:b/>
        </w:rPr>
      </w:pPr>
      <w:r w:rsidRPr="001D766C">
        <w:rPr>
          <w:b/>
        </w:rPr>
        <w:t>Action Chart</w:t>
      </w:r>
    </w:p>
    <w:p w14:paraId="3FF875FD" w14:textId="11D810BF" w:rsidR="001D766C" w:rsidRDefault="001D766C" w:rsidP="001D766C"/>
    <w:p w14:paraId="29072663" w14:textId="60210442" w:rsidR="001D766C" w:rsidRDefault="001D766C" w:rsidP="001D766C">
      <w:r>
        <w:t>159. Supplementary Business Survey not required. Action closed</w:t>
      </w:r>
    </w:p>
    <w:p w14:paraId="6DAD351D" w14:textId="77777777" w:rsidR="00A832B4" w:rsidRDefault="00A832B4" w:rsidP="001D766C"/>
    <w:p w14:paraId="13ADAB41" w14:textId="28DB81E9" w:rsidR="001D766C" w:rsidRDefault="00224523" w:rsidP="001D766C">
      <w:r>
        <w:t xml:space="preserve">173. Reflect SG Guidance in draft NP updates. Ongoing </w:t>
      </w:r>
      <w:r w:rsidR="00A5409A">
        <w:t>–</w:t>
      </w:r>
      <w:r>
        <w:t xml:space="preserve"> </w:t>
      </w:r>
      <w:r w:rsidR="00A5409A">
        <w:t xml:space="preserve">any </w:t>
      </w:r>
      <w:r>
        <w:t>revised versions will be circulated to the SG.</w:t>
      </w:r>
    </w:p>
    <w:p w14:paraId="0813A289" w14:textId="77777777" w:rsidR="00A832B4" w:rsidRDefault="00A832B4" w:rsidP="001D766C"/>
    <w:p w14:paraId="75CDF50B" w14:textId="744F21E8" w:rsidR="00224523" w:rsidRDefault="00224523" w:rsidP="001D766C">
      <w:r>
        <w:t>175. Adopt LM “significance conclusions” format in Character Assessment – AL advised it was not possible to use the same format - other versions were being considered. The summary is currently being worked on and should be ready early next week.</w:t>
      </w:r>
    </w:p>
    <w:p w14:paraId="1AD4ADB5" w14:textId="77777777" w:rsidR="00A832B4" w:rsidRDefault="00A832B4" w:rsidP="001D766C"/>
    <w:p w14:paraId="0305DEF8" w14:textId="6C18A5EF" w:rsidR="00224523" w:rsidRDefault="00224523" w:rsidP="001D766C">
      <w:r>
        <w:t xml:space="preserve">185. </w:t>
      </w:r>
      <w:r w:rsidR="00A5409A">
        <w:t>Check on SODC grant repayment requirements. – CC to email RR for confirmation regarding unspent grant money once the NP is complete. It was noted that</w:t>
      </w:r>
      <w:r>
        <w:t xml:space="preserve"> </w:t>
      </w:r>
      <w:r w:rsidR="00A5409A">
        <w:t>although the Locality grant of £8340 must be spent by the 31st March 2019 it would be prudent to keep the balance of the SODC grant in reserve.</w:t>
      </w:r>
    </w:p>
    <w:p w14:paraId="08A2AFF9" w14:textId="77777777" w:rsidR="00A832B4" w:rsidRDefault="00A832B4" w:rsidP="001D766C"/>
    <w:p w14:paraId="7CF3D667" w14:textId="64459788" w:rsidR="00A5409A" w:rsidRDefault="00A5409A" w:rsidP="001D766C">
      <w:r>
        <w:t>186. Negotiate written engagement agreement with O’Neill Homer.  – Complete</w:t>
      </w:r>
      <w:r w:rsidR="007F46DA">
        <w:t>.</w:t>
      </w:r>
      <w:r>
        <w:t xml:space="preserve"> </w:t>
      </w:r>
      <w:r w:rsidR="006100DB">
        <w:t xml:space="preserve">Confirmation of engagement and Ts &amp; Cs received by TPC. </w:t>
      </w:r>
      <w:r>
        <w:t>ONH will review the draft NP and write the basic conditions statement</w:t>
      </w:r>
      <w:r w:rsidR="007F46DA">
        <w:t xml:space="preserve"> by end of March.</w:t>
      </w:r>
    </w:p>
    <w:p w14:paraId="5CD31F76" w14:textId="77777777" w:rsidR="00A832B4" w:rsidRDefault="00A832B4" w:rsidP="001D766C"/>
    <w:p w14:paraId="5836C6C0" w14:textId="2A6AD0A7" w:rsidR="007F46DA" w:rsidRDefault="007F46DA" w:rsidP="001D766C">
      <w:r>
        <w:t>187. Negotiate Basic Conditions Statement task with O’Neill Homer – Complete</w:t>
      </w:r>
      <w:r w:rsidR="00A832B4">
        <w:t xml:space="preserve">. </w:t>
      </w:r>
      <w:r>
        <w:t>(see 186)</w:t>
      </w:r>
    </w:p>
    <w:p w14:paraId="5ED367E4" w14:textId="5C06DE58" w:rsidR="00A832B4" w:rsidRDefault="00A832B4" w:rsidP="00A832B4">
      <w:pPr>
        <w:tabs>
          <w:tab w:val="left" w:pos="6930"/>
        </w:tabs>
      </w:pPr>
      <w:r>
        <w:tab/>
      </w:r>
    </w:p>
    <w:p w14:paraId="55444B84" w14:textId="77777777" w:rsidR="00A832B4" w:rsidRDefault="007F46DA" w:rsidP="001D766C">
      <w:r>
        <w:t>188. Request TPC to engage Michelle Bolger on limited views task. – Complete</w:t>
      </w:r>
      <w:r w:rsidR="00A832B4">
        <w:t>.</w:t>
      </w:r>
      <w:r>
        <w:t xml:space="preserve"> TPC letter </w:t>
      </w:r>
    </w:p>
    <w:p w14:paraId="195CA50E" w14:textId="475924D6" w:rsidR="007F46DA" w:rsidRDefault="008529E3" w:rsidP="001D766C">
      <w:r>
        <w:t xml:space="preserve">sent </w:t>
      </w:r>
      <w:r w:rsidR="006100DB">
        <w:t>14</w:t>
      </w:r>
      <w:r w:rsidR="006100DB" w:rsidRPr="006100DB">
        <w:rPr>
          <w:vertAlign w:val="superscript"/>
        </w:rPr>
        <w:t>th</w:t>
      </w:r>
      <w:r w:rsidR="006100DB">
        <w:t xml:space="preserve"> December 2018. </w:t>
      </w:r>
      <w:bookmarkStart w:id="0" w:name="_Hlk534993350"/>
      <w:r w:rsidR="006100DB">
        <w:t xml:space="preserve">GS to act as liaison with MB </w:t>
      </w:r>
      <w:r w:rsidR="00A832B4">
        <w:t>for NPSG. GS to clarify with MB when work will be carried out.</w:t>
      </w:r>
    </w:p>
    <w:bookmarkEnd w:id="0"/>
    <w:p w14:paraId="243C7724" w14:textId="3EB35AE6" w:rsidR="00A832B4" w:rsidRDefault="00A832B4" w:rsidP="001D766C"/>
    <w:p w14:paraId="01B2F397" w14:textId="2473640A" w:rsidR="00A832B4" w:rsidRDefault="00A832B4" w:rsidP="001D766C">
      <w:r>
        <w:t>189. Request programme change with Locality – Complete. Task amendments agreed.</w:t>
      </w:r>
    </w:p>
    <w:p w14:paraId="79D1A514" w14:textId="7AB6DB1C" w:rsidR="00A832B4" w:rsidRDefault="00A832B4" w:rsidP="001D766C"/>
    <w:p w14:paraId="5400C246" w14:textId="473D9925" w:rsidR="00A832B4" w:rsidRDefault="00A832B4" w:rsidP="001D766C">
      <w:r>
        <w:t>190. Identify future tasks and costs against available funding – GS produced a spreadsheet. Memorial Hall invoice for hire of hall required and wages for Minutes Clerk to be included in costings. VAT to be reclaimed in February by TPC clerk. All expenditure is covered by current funding.</w:t>
      </w:r>
    </w:p>
    <w:p w14:paraId="2128F497" w14:textId="3B3BF7A8" w:rsidR="00B055C2" w:rsidRDefault="00B055C2" w:rsidP="001D766C"/>
    <w:p w14:paraId="0698C7B8" w14:textId="1C83CB83" w:rsidR="00B055C2" w:rsidRDefault="00B055C2" w:rsidP="001D766C">
      <w:r>
        <w:t>191. Highlight changes in draft NP document in coloured font.  - Ongoing</w:t>
      </w:r>
    </w:p>
    <w:p w14:paraId="762ED1C6" w14:textId="7D3280DA" w:rsidR="00B055C2" w:rsidRDefault="00B055C2" w:rsidP="001D766C"/>
    <w:p w14:paraId="4FB6E17D" w14:textId="764DA925" w:rsidR="00B055C2" w:rsidRDefault="00B055C2" w:rsidP="001D766C">
      <w:r>
        <w:t>192. Incorporate further SG changes to draft Housing Analysis paper.  - Versions 4 &amp; 5 circulated. Minor changes have been made and significantly, the analysis matches the HA Local plan.</w:t>
      </w:r>
    </w:p>
    <w:p w14:paraId="1E501F36" w14:textId="77777777" w:rsidR="00B055C2" w:rsidRDefault="00B055C2" w:rsidP="001D766C"/>
    <w:p w14:paraId="15862901" w14:textId="42DB4FDC" w:rsidR="00B055C2" w:rsidRDefault="00B055C2" w:rsidP="001D766C">
      <w:r>
        <w:t>193.  Incorporate SG changes into draft Sustainability Assessment paper.  - Complete. Version 2 circulated.</w:t>
      </w:r>
    </w:p>
    <w:p w14:paraId="7501F7F4" w14:textId="67922F98" w:rsidR="00B055C2" w:rsidRDefault="00B055C2" w:rsidP="001D766C"/>
    <w:p w14:paraId="6E38C00B" w14:textId="3F13A1DB" w:rsidR="00B055C2" w:rsidRDefault="00B055C2" w:rsidP="001D766C">
      <w:r>
        <w:t>194. Forward further Sustainability Assessment change proposals to JG.  - None received. The SG confirmed they are happy with it as it is.</w:t>
      </w:r>
    </w:p>
    <w:p w14:paraId="6F351703" w14:textId="3E12A930" w:rsidR="00B055C2" w:rsidRDefault="00681F4F" w:rsidP="001D766C">
      <w:r>
        <w:t xml:space="preserve">. </w:t>
      </w:r>
    </w:p>
    <w:p w14:paraId="17AE9C7B" w14:textId="7A0A8647" w:rsidR="00B055C2" w:rsidRDefault="00B055C2" w:rsidP="001D766C">
      <w:r>
        <w:t>195. Submit completed SEA Screening Questionnaire to SODC. –</w:t>
      </w:r>
      <w:r w:rsidR="00681F4F">
        <w:t xml:space="preserve"> Complete.</w:t>
      </w:r>
      <w:r>
        <w:t xml:space="preserve"> Submitted 18</w:t>
      </w:r>
      <w:r w:rsidRPr="00B055C2">
        <w:rPr>
          <w:vertAlign w:val="superscript"/>
        </w:rPr>
        <w:t>th</w:t>
      </w:r>
      <w:r>
        <w:t xml:space="preserve"> December. Response expected by end of January. The con</w:t>
      </w:r>
      <w:r w:rsidR="00681F4F">
        <w:t>s</w:t>
      </w:r>
      <w:r>
        <w:t>ensus of opinion is that it is no lo</w:t>
      </w:r>
      <w:r w:rsidR="00681F4F">
        <w:t>n</w:t>
      </w:r>
      <w:r>
        <w:t>ger required.</w:t>
      </w:r>
    </w:p>
    <w:p w14:paraId="05E176D9" w14:textId="35990E71" w:rsidR="00681F4F" w:rsidRDefault="00681F4F" w:rsidP="001D766C"/>
    <w:p w14:paraId="237892F4" w14:textId="0DDD483A" w:rsidR="00681F4F" w:rsidRDefault="00681F4F" w:rsidP="00681F4F">
      <w:r>
        <w:t>196. Reflect SEA questionnaire statements in draft NP document. – Ongoing</w:t>
      </w:r>
    </w:p>
    <w:p w14:paraId="665F807D" w14:textId="7D289CBA" w:rsidR="00681F4F" w:rsidRDefault="00681F4F" w:rsidP="00681F4F">
      <w:pPr>
        <w:rPr>
          <w:rFonts w:asciiTheme="minorHAnsi" w:hAnsiTheme="minorHAnsi" w:cstheme="minorBidi"/>
          <w:color w:val="auto"/>
        </w:rPr>
      </w:pPr>
    </w:p>
    <w:p w14:paraId="1A118C99" w14:textId="31D7EA1F" w:rsidR="00681F4F" w:rsidRDefault="00681F4F" w:rsidP="00681F4F">
      <w:pPr>
        <w:rPr>
          <w:rFonts w:cs="Arial"/>
          <w:color w:val="auto"/>
        </w:rPr>
      </w:pPr>
      <w:r w:rsidRPr="00681F4F">
        <w:rPr>
          <w:rFonts w:cs="Arial"/>
          <w:color w:val="auto"/>
        </w:rPr>
        <w:t>197. Prepare list of draft NP policies</w:t>
      </w:r>
      <w:r>
        <w:rPr>
          <w:rFonts w:cs="Arial"/>
          <w:color w:val="auto"/>
        </w:rPr>
        <w:t xml:space="preserve">. – Ongoing </w:t>
      </w:r>
    </w:p>
    <w:p w14:paraId="433D8692" w14:textId="2A606AAE" w:rsidR="00681F4F" w:rsidRDefault="00681F4F" w:rsidP="00681F4F">
      <w:pPr>
        <w:rPr>
          <w:rFonts w:cs="Arial"/>
          <w:color w:val="auto"/>
        </w:rPr>
      </w:pPr>
    </w:p>
    <w:p w14:paraId="4FE94E4E" w14:textId="446DEFE9" w:rsidR="00681F4F" w:rsidRDefault="00681F4F" w:rsidP="00681F4F">
      <w:pPr>
        <w:rPr>
          <w:rFonts w:cs="Arial"/>
          <w:color w:val="auto"/>
        </w:rPr>
      </w:pPr>
    </w:p>
    <w:p w14:paraId="489994DC" w14:textId="0329041B" w:rsidR="00681F4F" w:rsidRPr="00681F4F" w:rsidRDefault="00681F4F" w:rsidP="00681F4F">
      <w:pPr>
        <w:rPr>
          <w:rFonts w:cs="Arial"/>
          <w:b/>
          <w:color w:val="auto"/>
        </w:rPr>
      </w:pPr>
      <w:r>
        <w:rPr>
          <w:rFonts w:cs="Arial"/>
          <w:color w:val="auto"/>
        </w:rPr>
        <w:t>4</w:t>
      </w:r>
      <w:r w:rsidRPr="00681F4F">
        <w:rPr>
          <w:rFonts w:cs="Arial"/>
          <w:b/>
          <w:color w:val="auto"/>
        </w:rPr>
        <w:t>. Release of Draft Documents to Contractors.</w:t>
      </w:r>
    </w:p>
    <w:p w14:paraId="5933E017" w14:textId="77777777" w:rsidR="004D58C7" w:rsidRDefault="00681F4F" w:rsidP="00681F4F">
      <w:pPr>
        <w:rPr>
          <w:rFonts w:cs="Arial"/>
          <w:color w:val="auto"/>
        </w:rPr>
      </w:pPr>
      <w:r>
        <w:rPr>
          <w:rFonts w:cs="Arial"/>
          <w:color w:val="auto"/>
        </w:rPr>
        <w:t xml:space="preserve">It was agreed unanimously to submit the draft Neighbourhood Plan together with the suite of supporting documents to O’Neill Homer by the end of next week to </w:t>
      </w:r>
      <w:r w:rsidR="004D58C7">
        <w:rPr>
          <w:rFonts w:cs="Arial"/>
          <w:color w:val="auto"/>
        </w:rPr>
        <w:t>keep to the time line requested by ONH. Any essential amendments must be completed in the next few days.</w:t>
      </w:r>
    </w:p>
    <w:p w14:paraId="578F2619" w14:textId="3E779092" w:rsidR="00681F4F" w:rsidRDefault="004D58C7" w:rsidP="00681F4F">
      <w:pPr>
        <w:rPr>
          <w:rFonts w:cs="Arial"/>
          <w:color w:val="auto"/>
        </w:rPr>
      </w:pPr>
      <w:r>
        <w:rPr>
          <w:rFonts w:cs="Arial"/>
          <w:color w:val="auto"/>
        </w:rPr>
        <w:t>Documents to be submitted: Draft NP, Parish Character Assessment, Tetsworth Housing Analysis, Tetsworth Sustainability Overview, SEA Questionnaire input and the Questionnaire response analysis.</w:t>
      </w:r>
    </w:p>
    <w:p w14:paraId="0BF20D47" w14:textId="5FF42745" w:rsidR="004D58C7" w:rsidRDefault="004D58C7" w:rsidP="00681F4F">
      <w:pPr>
        <w:rPr>
          <w:rFonts w:cs="Arial"/>
          <w:color w:val="auto"/>
        </w:rPr>
      </w:pPr>
    </w:p>
    <w:p w14:paraId="4BCBD3F3" w14:textId="7012A6B4" w:rsidR="00681F4F" w:rsidRPr="004D58C7" w:rsidRDefault="004D58C7" w:rsidP="004D58C7">
      <w:pPr>
        <w:pStyle w:val="ListParagraph"/>
        <w:numPr>
          <w:ilvl w:val="0"/>
          <w:numId w:val="1"/>
        </w:numPr>
      </w:pPr>
      <w:r w:rsidRPr="004D58C7">
        <w:rPr>
          <w:rFonts w:cs="Arial"/>
          <w:color w:val="auto"/>
        </w:rPr>
        <w:t>Review of Drafts</w:t>
      </w:r>
    </w:p>
    <w:p w14:paraId="16923E9B" w14:textId="033E5FEE" w:rsidR="004D58C7" w:rsidRDefault="004D58C7" w:rsidP="004D58C7">
      <w:pPr>
        <w:ind w:left="0"/>
      </w:pPr>
      <w:r w:rsidRPr="00565A28">
        <w:rPr>
          <w:u w:val="single"/>
        </w:rPr>
        <w:t>Character Assessment</w:t>
      </w:r>
      <w:r>
        <w:t xml:space="preserve"> Version 9 - SG content that this version is to </w:t>
      </w:r>
      <w:r w:rsidR="00992E36">
        <w:t xml:space="preserve">be </w:t>
      </w:r>
      <w:r>
        <w:t>released. Although JG currently working on amendments.</w:t>
      </w:r>
    </w:p>
    <w:p w14:paraId="4981B779" w14:textId="22A4BBAC" w:rsidR="004D58C7" w:rsidRDefault="004D58C7" w:rsidP="004D58C7">
      <w:pPr>
        <w:ind w:left="0"/>
      </w:pPr>
      <w:r>
        <w:t>Unanimous agreement</w:t>
      </w:r>
    </w:p>
    <w:p w14:paraId="24C076AD" w14:textId="06957F60" w:rsidR="00565A28" w:rsidRDefault="00565A28" w:rsidP="004D58C7">
      <w:pPr>
        <w:ind w:left="0"/>
      </w:pPr>
    </w:p>
    <w:p w14:paraId="4275AC24" w14:textId="00C23183" w:rsidR="00992E36" w:rsidRDefault="00DF2388" w:rsidP="00992E36">
      <w:pPr>
        <w:ind w:left="0"/>
      </w:pPr>
      <w:r w:rsidRPr="00DF2388">
        <w:rPr>
          <w:u w:val="single"/>
        </w:rPr>
        <w:t>Tetsworth Housing Analysis</w:t>
      </w:r>
      <w:r>
        <w:t xml:space="preserve"> Version 5 – </w:t>
      </w:r>
      <w:r w:rsidR="00992E36">
        <w:t>Amendments need to be made as agreed by the SG. It must be made clear to ONH that this is not the final version. It is hoped that ONH’s opinion will not be swayed by inaccurate draft documents. The final draft to be reviewed and ready by March. Conversation with RR from SODC to be incorporated in the covering notes.</w:t>
      </w:r>
    </w:p>
    <w:p w14:paraId="34F22C8E" w14:textId="5FDA4DBA" w:rsidR="00992E36" w:rsidRDefault="00992E36" w:rsidP="00992E36">
      <w:pPr>
        <w:ind w:left="0"/>
      </w:pPr>
      <w:r>
        <w:t>Unanimous agreement</w:t>
      </w:r>
    </w:p>
    <w:p w14:paraId="54E4BB1A" w14:textId="65EAA8D0" w:rsidR="00992E36" w:rsidRDefault="00992E36" w:rsidP="00992E36">
      <w:pPr>
        <w:ind w:left="0"/>
      </w:pPr>
    </w:p>
    <w:p w14:paraId="765B21A1" w14:textId="0AEC73D8" w:rsidR="00992E36" w:rsidRDefault="00992E36" w:rsidP="00992E36">
      <w:pPr>
        <w:ind w:left="0"/>
      </w:pPr>
      <w:r w:rsidRPr="00992E36">
        <w:rPr>
          <w:u w:val="single"/>
        </w:rPr>
        <w:t>Sustainability Overview</w:t>
      </w:r>
      <w:r>
        <w:t>.</w:t>
      </w:r>
      <w:r w:rsidR="005F45DC">
        <w:t xml:space="preserve"> – Send in current version</w:t>
      </w:r>
    </w:p>
    <w:p w14:paraId="2C24DB45" w14:textId="29C7AD2F" w:rsidR="005F45DC" w:rsidRDefault="005F45DC" w:rsidP="00992E36">
      <w:pPr>
        <w:ind w:left="0"/>
      </w:pPr>
      <w:r>
        <w:t>Unanimous agreement</w:t>
      </w:r>
    </w:p>
    <w:p w14:paraId="6C4BBDE9" w14:textId="30C18BAE" w:rsidR="005F45DC" w:rsidRDefault="005F45DC" w:rsidP="00992E36">
      <w:pPr>
        <w:ind w:left="0"/>
      </w:pPr>
    </w:p>
    <w:p w14:paraId="0C186BC1" w14:textId="7FF13D30" w:rsidR="005F45DC" w:rsidRDefault="005F45DC" w:rsidP="00992E36">
      <w:pPr>
        <w:ind w:left="0"/>
      </w:pPr>
      <w:r w:rsidRPr="005F45DC">
        <w:rPr>
          <w:u w:val="single"/>
        </w:rPr>
        <w:t>SEA Questionnaire Submission</w:t>
      </w:r>
      <w:r>
        <w:t xml:space="preserve"> – To be sent as it is.</w:t>
      </w:r>
    </w:p>
    <w:p w14:paraId="64C564FA" w14:textId="24E82C37" w:rsidR="005F45DC" w:rsidRDefault="005F45DC" w:rsidP="00992E36">
      <w:pPr>
        <w:ind w:left="0"/>
      </w:pPr>
      <w:r>
        <w:t>Unanimous agreement</w:t>
      </w:r>
    </w:p>
    <w:p w14:paraId="79F4F7A5" w14:textId="45CD6196" w:rsidR="005F45DC" w:rsidRDefault="005F45DC" w:rsidP="00992E36">
      <w:pPr>
        <w:ind w:left="0"/>
      </w:pPr>
    </w:p>
    <w:p w14:paraId="3EFE8140" w14:textId="18A0924B" w:rsidR="005F45DC" w:rsidRDefault="005F45DC" w:rsidP="005F45DC">
      <w:pPr>
        <w:ind w:left="0"/>
      </w:pPr>
      <w:r w:rsidRPr="005F45DC">
        <w:rPr>
          <w:u w:val="single"/>
        </w:rPr>
        <w:t>Questionnaire Responses</w:t>
      </w:r>
      <w:r w:rsidRPr="005F45DC">
        <w:t xml:space="preserve">. </w:t>
      </w:r>
      <w:r>
        <w:t>To be sent as it is.</w:t>
      </w:r>
    </w:p>
    <w:p w14:paraId="44B1397C" w14:textId="6318F613" w:rsidR="005F45DC" w:rsidRDefault="005F45DC" w:rsidP="005F45DC">
      <w:pPr>
        <w:ind w:left="0"/>
      </w:pPr>
      <w:r>
        <w:t>Unanimous agreement</w:t>
      </w:r>
    </w:p>
    <w:p w14:paraId="4FA524E5" w14:textId="0D8557E9" w:rsidR="005F45DC" w:rsidRDefault="005F45DC" w:rsidP="005F45DC">
      <w:pPr>
        <w:ind w:left="0"/>
      </w:pPr>
    </w:p>
    <w:p w14:paraId="4F8A3CA4" w14:textId="7DA2B97A" w:rsidR="005F45DC" w:rsidRDefault="005F45DC" w:rsidP="005F45DC">
      <w:pPr>
        <w:ind w:left="0"/>
        <w:rPr>
          <w:u w:val="single"/>
        </w:rPr>
      </w:pPr>
      <w:r w:rsidRPr="005F45DC">
        <w:rPr>
          <w:u w:val="single"/>
        </w:rPr>
        <w:t>Neighbourhood Plan</w:t>
      </w:r>
    </w:p>
    <w:p w14:paraId="66B26DDC" w14:textId="662D8A87" w:rsidR="005F45DC" w:rsidRDefault="005F45DC" w:rsidP="005F45DC">
      <w:pPr>
        <w:ind w:left="0"/>
        <w:rPr>
          <w:u w:val="single"/>
        </w:rPr>
      </w:pPr>
    </w:p>
    <w:p w14:paraId="7C2855AD" w14:textId="03C92C8A" w:rsidR="005F45DC" w:rsidRDefault="005F45DC" w:rsidP="005F45DC">
      <w:pPr>
        <w:ind w:left="0"/>
      </w:pPr>
      <w:r w:rsidRPr="005F45DC">
        <w:t>Using feedback from the meeting with RR from SODC</w:t>
      </w:r>
      <w:r>
        <w:t>, Infrastructure and Employment policies have been excluded. Housing and Environment policies remain.</w:t>
      </w:r>
    </w:p>
    <w:p w14:paraId="363A5288" w14:textId="77777777" w:rsidR="005C2FFF" w:rsidRDefault="005C2FFF" w:rsidP="005F45DC">
      <w:pPr>
        <w:ind w:left="0"/>
      </w:pPr>
    </w:p>
    <w:p w14:paraId="4CBBD901" w14:textId="10D1A060" w:rsidR="005C2FFF" w:rsidRDefault="005C2FFF" w:rsidP="005F45DC">
      <w:pPr>
        <w:ind w:left="0"/>
      </w:pPr>
      <w:r>
        <w:lastRenderedPageBreak/>
        <w:t xml:space="preserve"> Little has changed until Section 3 – Vision &amp; Objectives.</w:t>
      </w:r>
    </w:p>
    <w:p w14:paraId="5502317B" w14:textId="4EBC5E16" w:rsidR="005C2FFF" w:rsidRDefault="005C2FFF" w:rsidP="005F45DC">
      <w:pPr>
        <w:ind w:left="0"/>
        <w:rPr>
          <w:color w:val="auto"/>
        </w:rPr>
      </w:pPr>
      <w:r>
        <w:t xml:space="preserve">The emerging Local Plan has changed and </w:t>
      </w:r>
      <w:r>
        <w:rPr>
          <w:color w:val="auto"/>
        </w:rPr>
        <w:t>as</w:t>
      </w:r>
      <w:r w:rsidRPr="005C2FFF">
        <w:rPr>
          <w:color w:val="auto"/>
        </w:rPr>
        <w:t xml:space="preserve"> a result, a set of revised Objectives more focused on </w:t>
      </w:r>
      <w:proofErr w:type="spellStart"/>
      <w:r w:rsidRPr="005C2FFF">
        <w:rPr>
          <w:color w:val="auto"/>
        </w:rPr>
        <w:t>Tetsworth’s</w:t>
      </w:r>
      <w:proofErr w:type="spellEnd"/>
      <w:r w:rsidRPr="005C2FFF">
        <w:rPr>
          <w:color w:val="auto"/>
        </w:rPr>
        <w:t xml:space="preserve"> specific circumstances have been adopted.</w:t>
      </w:r>
    </w:p>
    <w:p w14:paraId="4826D19D" w14:textId="7EC2B678" w:rsidR="005C2FFF" w:rsidRDefault="005C2FFF" w:rsidP="005F45DC">
      <w:pPr>
        <w:ind w:left="0"/>
        <w:rPr>
          <w:color w:val="auto"/>
        </w:rPr>
      </w:pPr>
    </w:p>
    <w:p w14:paraId="0EDF13A8" w14:textId="0DD9AE36" w:rsidR="005C2FFF" w:rsidRPr="00650913" w:rsidRDefault="005C2FFF" w:rsidP="005F45DC">
      <w:pPr>
        <w:ind w:left="0"/>
        <w:rPr>
          <w:color w:val="auto"/>
          <w:u w:val="single"/>
        </w:rPr>
      </w:pPr>
      <w:r w:rsidRPr="00650913">
        <w:rPr>
          <w:color w:val="auto"/>
          <w:u w:val="single"/>
        </w:rPr>
        <w:t>Vision</w:t>
      </w:r>
    </w:p>
    <w:p w14:paraId="72FCF840" w14:textId="3423AF14" w:rsidR="005C2FFF" w:rsidRDefault="005C2FFF" w:rsidP="005F45DC">
      <w:pPr>
        <w:ind w:left="0"/>
        <w:rPr>
          <w:color w:val="auto"/>
        </w:rPr>
      </w:pPr>
      <w:r>
        <w:rPr>
          <w:color w:val="auto"/>
        </w:rPr>
        <w:t>To be amended to “Tetsworth to be kept as a place that people want to live in.”</w:t>
      </w:r>
    </w:p>
    <w:p w14:paraId="58005A0C" w14:textId="6B31A1BB" w:rsidR="00345EFA" w:rsidRDefault="00345EFA" w:rsidP="005F45DC">
      <w:pPr>
        <w:ind w:left="0"/>
        <w:rPr>
          <w:color w:val="auto"/>
        </w:rPr>
      </w:pPr>
      <w:r>
        <w:rPr>
          <w:color w:val="auto"/>
        </w:rPr>
        <w:t>Agreed</w:t>
      </w:r>
    </w:p>
    <w:p w14:paraId="76308D38" w14:textId="77777777" w:rsidR="005C2FFF" w:rsidRDefault="005C2FFF" w:rsidP="005F45DC">
      <w:pPr>
        <w:ind w:left="0"/>
        <w:rPr>
          <w:color w:val="auto"/>
        </w:rPr>
      </w:pPr>
    </w:p>
    <w:p w14:paraId="21B45EE2" w14:textId="7256FAA0" w:rsidR="005C2FFF" w:rsidRPr="00650913" w:rsidRDefault="005C2FFF" w:rsidP="005F45DC">
      <w:pPr>
        <w:ind w:left="0"/>
        <w:rPr>
          <w:color w:val="auto"/>
          <w:u w:val="single"/>
        </w:rPr>
      </w:pPr>
      <w:r w:rsidRPr="00650913">
        <w:rPr>
          <w:color w:val="auto"/>
          <w:u w:val="single"/>
        </w:rPr>
        <w:t>Objectives</w:t>
      </w:r>
    </w:p>
    <w:p w14:paraId="1BEDB63B" w14:textId="5C130DB2" w:rsidR="005C2FFF" w:rsidRDefault="005C2FFF" w:rsidP="005F45DC">
      <w:pPr>
        <w:ind w:left="0"/>
        <w:rPr>
          <w:color w:val="auto"/>
        </w:rPr>
      </w:pPr>
      <w:r>
        <w:rPr>
          <w:color w:val="auto"/>
        </w:rPr>
        <w:t>The Four Objectives are left in. The first 2 have been amended to be in line with the SEA.</w:t>
      </w:r>
    </w:p>
    <w:p w14:paraId="620141F9" w14:textId="3B304BC8" w:rsidR="005C2FFF" w:rsidRDefault="00345EFA" w:rsidP="005F45DC">
      <w:pPr>
        <w:ind w:left="0"/>
        <w:rPr>
          <w:color w:val="auto"/>
        </w:rPr>
      </w:pPr>
      <w:r>
        <w:rPr>
          <w:color w:val="auto"/>
        </w:rPr>
        <w:t>Agreed</w:t>
      </w:r>
    </w:p>
    <w:p w14:paraId="46D814CB" w14:textId="77777777" w:rsidR="00345EFA" w:rsidRDefault="00345EFA" w:rsidP="005F45DC">
      <w:pPr>
        <w:ind w:left="0"/>
        <w:rPr>
          <w:color w:val="auto"/>
        </w:rPr>
      </w:pPr>
    </w:p>
    <w:p w14:paraId="52044C8D" w14:textId="3CC8F370" w:rsidR="005C2FFF" w:rsidRPr="00650913" w:rsidRDefault="0002693B" w:rsidP="005F45DC">
      <w:pPr>
        <w:ind w:left="0"/>
        <w:rPr>
          <w:color w:val="auto"/>
          <w:u w:val="single"/>
        </w:rPr>
      </w:pPr>
      <w:r w:rsidRPr="00650913">
        <w:rPr>
          <w:color w:val="auto"/>
          <w:u w:val="single"/>
        </w:rPr>
        <w:t>Section 4</w:t>
      </w:r>
    </w:p>
    <w:p w14:paraId="042FE350" w14:textId="6AA2811E" w:rsidR="0002693B" w:rsidRDefault="0002693B" w:rsidP="005F45DC">
      <w:pPr>
        <w:ind w:left="0"/>
        <w:rPr>
          <w:color w:val="auto"/>
        </w:rPr>
      </w:pPr>
      <w:r>
        <w:rPr>
          <w:color w:val="auto"/>
        </w:rPr>
        <w:t>Land Use Survey- Blue tables are extracts from the Questionnaire analysis and therefore will be removed.</w:t>
      </w:r>
    </w:p>
    <w:p w14:paraId="77403FC6" w14:textId="741BBC9A" w:rsidR="00345EFA" w:rsidRDefault="00345EFA" w:rsidP="005F45DC">
      <w:pPr>
        <w:ind w:left="0"/>
        <w:rPr>
          <w:color w:val="auto"/>
        </w:rPr>
      </w:pPr>
      <w:r>
        <w:rPr>
          <w:color w:val="auto"/>
        </w:rPr>
        <w:t>Agreed</w:t>
      </w:r>
    </w:p>
    <w:p w14:paraId="444A6429" w14:textId="74F164B7" w:rsidR="0002693B" w:rsidRDefault="0002693B" w:rsidP="005F45DC">
      <w:pPr>
        <w:ind w:left="0"/>
        <w:rPr>
          <w:color w:val="auto"/>
        </w:rPr>
      </w:pPr>
    </w:p>
    <w:p w14:paraId="0DE4F336" w14:textId="671F43F9" w:rsidR="0002693B" w:rsidRDefault="0002693B" w:rsidP="0002693B">
      <w:pPr>
        <w:ind w:left="0"/>
      </w:pPr>
      <w:r>
        <w:rPr>
          <w:color w:val="auto"/>
        </w:rPr>
        <w:t xml:space="preserve">Settlement Footprint Map - </w:t>
      </w:r>
      <w:r>
        <w:t>Check that the boundary lines are correct.</w:t>
      </w:r>
    </w:p>
    <w:p w14:paraId="54E0D448" w14:textId="503CA453" w:rsidR="0002693B" w:rsidRDefault="0002693B" w:rsidP="0002693B">
      <w:pPr>
        <w:ind w:left="0"/>
      </w:pPr>
    </w:p>
    <w:p w14:paraId="4178D9A5" w14:textId="711C47A9" w:rsidR="0002693B" w:rsidRPr="00650913" w:rsidRDefault="0002693B" w:rsidP="0002693B">
      <w:pPr>
        <w:ind w:left="0"/>
        <w:rPr>
          <w:u w:val="single"/>
        </w:rPr>
      </w:pPr>
      <w:r w:rsidRPr="00650913">
        <w:rPr>
          <w:u w:val="single"/>
        </w:rPr>
        <w:t xml:space="preserve">Policies </w:t>
      </w:r>
    </w:p>
    <w:p w14:paraId="64F6021F" w14:textId="516A689D" w:rsidR="0002693B" w:rsidRDefault="0002693B" w:rsidP="0002693B">
      <w:pPr>
        <w:ind w:left="0"/>
      </w:pPr>
      <w:r>
        <w:t>This has undergone a radical rewrite.</w:t>
      </w:r>
    </w:p>
    <w:p w14:paraId="1B8827C5" w14:textId="77777777" w:rsidR="0002693B" w:rsidRDefault="0002693B" w:rsidP="0002693B">
      <w:pPr>
        <w:ind w:left="0"/>
      </w:pPr>
    </w:p>
    <w:p w14:paraId="6BB1A8EE" w14:textId="2FBADE05" w:rsidR="0002693B" w:rsidRDefault="0002693B" w:rsidP="005F45DC">
      <w:pPr>
        <w:ind w:left="0"/>
        <w:rPr>
          <w:color w:val="auto"/>
        </w:rPr>
      </w:pPr>
      <w:r>
        <w:rPr>
          <w:color w:val="auto"/>
        </w:rPr>
        <w:t>5.1 – Appendices to this report are standalone documents. The Character Assessment may be added. It will be a standalone report and we must ensure that it is consistent with MBs report.</w:t>
      </w:r>
    </w:p>
    <w:p w14:paraId="7A6A69FD" w14:textId="1A38848D" w:rsidR="00345EFA" w:rsidRDefault="00345EFA" w:rsidP="005F45DC">
      <w:pPr>
        <w:ind w:left="0"/>
        <w:rPr>
          <w:color w:val="auto"/>
        </w:rPr>
      </w:pPr>
      <w:r>
        <w:rPr>
          <w:color w:val="auto"/>
        </w:rPr>
        <w:t>Agreed</w:t>
      </w:r>
    </w:p>
    <w:p w14:paraId="3AD4F106" w14:textId="61415999" w:rsidR="0002693B" w:rsidRDefault="0002693B" w:rsidP="005F45DC">
      <w:pPr>
        <w:ind w:left="0"/>
        <w:rPr>
          <w:color w:val="auto"/>
        </w:rPr>
      </w:pPr>
    </w:p>
    <w:p w14:paraId="5E1FF6B0" w14:textId="2EE44221" w:rsidR="000F7142" w:rsidRDefault="0002693B" w:rsidP="005F45DC">
      <w:pPr>
        <w:ind w:left="0"/>
        <w:rPr>
          <w:color w:val="auto"/>
        </w:rPr>
      </w:pPr>
      <w:r>
        <w:rPr>
          <w:color w:val="auto"/>
        </w:rPr>
        <w:t xml:space="preserve">5.2 – High Level Planning Policies </w:t>
      </w:r>
      <w:r w:rsidR="000F7142">
        <w:rPr>
          <w:color w:val="auto"/>
        </w:rPr>
        <w:t xml:space="preserve">- </w:t>
      </w:r>
      <w:r>
        <w:rPr>
          <w:color w:val="auto"/>
        </w:rPr>
        <w:t>In light of the Local Plan our visions and objectives are catered for but we still need our own policies that are specific to the village</w:t>
      </w:r>
      <w:r w:rsidR="000F7142">
        <w:rPr>
          <w:color w:val="auto"/>
        </w:rPr>
        <w:t>.</w:t>
      </w:r>
    </w:p>
    <w:p w14:paraId="2A484D3A" w14:textId="0541E1A7" w:rsidR="000F7142" w:rsidRDefault="000F7142" w:rsidP="005F45DC">
      <w:pPr>
        <w:ind w:left="0"/>
        <w:rPr>
          <w:color w:val="auto"/>
        </w:rPr>
      </w:pPr>
      <w:r>
        <w:rPr>
          <w:color w:val="auto"/>
        </w:rPr>
        <w:t>The SG are confident that the NPPF and LP address most of their needs. However, the NP must be paramount.</w:t>
      </w:r>
    </w:p>
    <w:p w14:paraId="4B7A81A2" w14:textId="3D28D07C" w:rsidR="00345EFA" w:rsidRDefault="00345EFA" w:rsidP="005F45DC">
      <w:pPr>
        <w:ind w:left="0"/>
        <w:rPr>
          <w:color w:val="auto"/>
        </w:rPr>
      </w:pPr>
      <w:r>
        <w:rPr>
          <w:color w:val="auto"/>
        </w:rPr>
        <w:t>Agreed</w:t>
      </w:r>
    </w:p>
    <w:p w14:paraId="21B84B1D" w14:textId="36265E1E" w:rsidR="000F7142" w:rsidRDefault="000F7142" w:rsidP="005F45DC">
      <w:pPr>
        <w:ind w:left="0"/>
        <w:rPr>
          <w:color w:val="auto"/>
        </w:rPr>
      </w:pPr>
    </w:p>
    <w:p w14:paraId="78F582C8" w14:textId="6650E238" w:rsidR="000F7142" w:rsidRDefault="000F7142" w:rsidP="005F45DC">
      <w:pPr>
        <w:ind w:left="0"/>
        <w:rPr>
          <w:color w:val="auto"/>
        </w:rPr>
      </w:pPr>
      <w:r>
        <w:rPr>
          <w:color w:val="auto"/>
        </w:rPr>
        <w:t>5.3 Housing Policies</w:t>
      </w:r>
    </w:p>
    <w:p w14:paraId="3C820573" w14:textId="61D2EFAC" w:rsidR="000F7142" w:rsidRDefault="000F7142" w:rsidP="000F7142">
      <w:pPr>
        <w:ind w:left="0"/>
        <w:rPr>
          <w:color w:val="auto"/>
        </w:rPr>
      </w:pPr>
      <w:r>
        <w:rPr>
          <w:color w:val="auto"/>
        </w:rPr>
        <w:t xml:space="preserve">Tetsworth already has twice the maximum expectations of the Local Plan, therefore only trickle development is expected from now on. </w:t>
      </w:r>
    </w:p>
    <w:p w14:paraId="74419663" w14:textId="513AB260" w:rsidR="00345EFA" w:rsidRDefault="00345EFA" w:rsidP="000F7142">
      <w:pPr>
        <w:ind w:left="0"/>
        <w:rPr>
          <w:color w:val="auto"/>
        </w:rPr>
      </w:pPr>
      <w:r>
        <w:rPr>
          <w:color w:val="auto"/>
        </w:rPr>
        <w:t>Agreed</w:t>
      </w:r>
    </w:p>
    <w:p w14:paraId="28C8B81F" w14:textId="77777777" w:rsidR="000F7142" w:rsidRDefault="000F7142" w:rsidP="000F7142">
      <w:pPr>
        <w:ind w:left="0"/>
        <w:rPr>
          <w:color w:val="auto"/>
        </w:rPr>
      </w:pPr>
    </w:p>
    <w:p w14:paraId="231723EA" w14:textId="695AED50" w:rsidR="0002693B" w:rsidRDefault="000F7142" w:rsidP="000F7142">
      <w:pPr>
        <w:ind w:left="0"/>
        <w:rPr>
          <w:color w:val="auto"/>
        </w:rPr>
      </w:pPr>
      <w:r>
        <w:rPr>
          <w:color w:val="auto"/>
        </w:rPr>
        <w:t>5.4 The NP will try to support suitable housing and address the affordability gap</w:t>
      </w:r>
      <w:r w:rsidR="00345EFA">
        <w:rPr>
          <w:color w:val="auto"/>
        </w:rPr>
        <w:t>.</w:t>
      </w:r>
    </w:p>
    <w:p w14:paraId="604F148A" w14:textId="081A3156" w:rsidR="00345EFA" w:rsidRDefault="00345EFA" w:rsidP="000F7142">
      <w:pPr>
        <w:ind w:left="0"/>
        <w:rPr>
          <w:color w:val="auto"/>
        </w:rPr>
      </w:pPr>
      <w:r>
        <w:rPr>
          <w:color w:val="auto"/>
        </w:rPr>
        <w:t>Agreed</w:t>
      </w:r>
    </w:p>
    <w:p w14:paraId="77FC47E8" w14:textId="245F890B" w:rsidR="000F7142" w:rsidRDefault="000F7142" w:rsidP="000F7142">
      <w:pPr>
        <w:ind w:left="0"/>
        <w:rPr>
          <w:color w:val="auto"/>
        </w:rPr>
      </w:pPr>
    </w:p>
    <w:p w14:paraId="001924EB" w14:textId="5036C163" w:rsidR="000F7142" w:rsidRDefault="00345EFA" w:rsidP="000F7142">
      <w:pPr>
        <w:ind w:left="0"/>
        <w:rPr>
          <w:color w:val="auto"/>
        </w:rPr>
      </w:pPr>
      <w:r>
        <w:rPr>
          <w:color w:val="auto"/>
        </w:rPr>
        <w:t xml:space="preserve">5.5 </w:t>
      </w:r>
      <w:r w:rsidR="000F7142">
        <w:rPr>
          <w:color w:val="auto"/>
        </w:rPr>
        <w:t>Infill Residential Housing Developments – Policies now named T1 to T6</w:t>
      </w:r>
    </w:p>
    <w:p w14:paraId="0ECE04CA" w14:textId="05C9BD70" w:rsidR="000F7142" w:rsidRDefault="000F7142" w:rsidP="000F7142">
      <w:pPr>
        <w:rPr>
          <w:color w:val="auto"/>
        </w:rPr>
      </w:pPr>
      <w:r>
        <w:t xml:space="preserve">Planning permission will be supported for infill residential developments of no more </w:t>
      </w:r>
      <w:r w:rsidRPr="000F7142">
        <w:rPr>
          <w:color w:val="auto"/>
        </w:rPr>
        <w:t xml:space="preserve">than 6 dwellings on suitable sites of no more than 0.2Ha </w:t>
      </w:r>
      <w:r w:rsidR="00345EFA">
        <w:rPr>
          <w:color w:val="auto"/>
        </w:rPr>
        <w:t>- this will make the policy more understandable to residents.</w:t>
      </w:r>
    </w:p>
    <w:p w14:paraId="03E23F96" w14:textId="6D6390B3" w:rsidR="00345EFA" w:rsidRDefault="00345EFA" w:rsidP="000F7142">
      <w:pPr>
        <w:rPr>
          <w:color w:val="auto"/>
        </w:rPr>
      </w:pPr>
      <w:r>
        <w:rPr>
          <w:color w:val="auto"/>
        </w:rPr>
        <w:t>Agreed</w:t>
      </w:r>
    </w:p>
    <w:p w14:paraId="3199DB66" w14:textId="5FA5C71C" w:rsidR="00345EFA" w:rsidRDefault="00345EFA" w:rsidP="000F7142">
      <w:pPr>
        <w:rPr>
          <w:color w:val="auto"/>
        </w:rPr>
      </w:pPr>
    </w:p>
    <w:p w14:paraId="75D45655" w14:textId="1FB31FC9" w:rsidR="00345EFA" w:rsidRDefault="00345EFA" w:rsidP="000F7142">
      <w:pPr>
        <w:rPr>
          <w:color w:val="auto"/>
        </w:rPr>
      </w:pPr>
      <w:r>
        <w:rPr>
          <w:color w:val="auto"/>
        </w:rPr>
        <w:t>5.6 Housing Design Characteristics – The nature of the village as it is, any development must fit in in style terms.</w:t>
      </w:r>
    </w:p>
    <w:p w14:paraId="200A2707" w14:textId="4986E227" w:rsidR="00345EFA" w:rsidRDefault="00345EFA" w:rsidP="000F7142">
      <w:pPr>
        <w:rPr>
          <w:color w:val="auto"/>
        </w:rPr>
      </w:pPr>
      <w:r>
        <w:rPr>
          <w:color w:val="auto"/>
        </w:rPr>
        <w:t xml:space="preserve">Design </w:t>
      </w:r>
      <w:proofErr w:type="gramStart"/>
      <w:r>
        <w:rPr>
          <w:color w:val="auto"/>
        </w:rPr>
        <w:t>Criteria  -</w:t>
      </w:r>
      <w:proofErr w:type="gramEnd"/>
      <w:r>
        <w:rPr>
          <w:color w:val="auto"/>
        </w:rPr>
        <w:t xml:space="preserve"> must be individualistic, high quality, fits into the context of the village.</w:t>
      </w:r>
    </w:p>
    <w:p w14:paraId="569EC2DD" w14:textId="03731EF5" w:rsidR="00345EFA" w:rsidRDefault="00345EFA" w:rsidP="000F7142">
      <w:pPr>
        <w:rPr>
          <w:color w:val="auto"/>
        </w:rPr>
      </w:pPr>
      <w:r>
        <w:rPr>
          <w:color w:val="auto"/>
        </w:rPr>
        <w:t>Agreed</w:t>
      </w:r>
    </w:p>
    <w:p w14:paraId="72773E58" w14:textId="639FAFA7" w:rsidR="00345EFA" w:rsidRDefault="00345EFA" w:rsidP="000F7142">
      <w:pPr>
        <w:rPr>
          <w:color w:val="auto"/>
        </w:rPr>
      </w:pPr>
    </w:p>
    <w:p w14:paraId="128463CE" w14:textId="3DDAA86B" w:rsidR="00345EFA" w:rsidRDefault="00345EFA" w:rsidP="00345EFA">
      <w:pPr>
        <w:rPr>
          <w:color w:val="auto"/>
        </w:rPr>
      </w:pPr>
      <w:r w:rsidRPr="00345EFA">
        <w:rPr>
          <w:color w:val="auto"/>
        </w:rPr>
        <w:t>Heritage and Green Space Setting Protection</w:t>
      </w:r>
      <w:r>
        <w:rPr>
          <w:color w:val="auto"/>
        </w:rPr>
        <w:t>. – 15 listed buildings within the Parish. AL asked to produce a map of them.</w:t>
      </w:r>
    </w:p>
    <w:p w14:paraId="5F82F713" w14:textId="3C5D883F" w:rsidR="00345EFA" w:rsidRDefault="00345EFA" w:rsidP="00345EFA">
      <w:pPr>
        <w:rPr>
          <w:color w:val="auto"/>
        </w:rPr>
      </w:pPr>
      <w:r>
        <w:rPr>
          <w:color w:val="auto"/>
        </w:rPr>
        <w:t>A map of the green spaces and cobble paths has been included.</w:t>
      </w:r>
    </w:p>
    <w:p w14:paraId="6B40B20D" w14:textId="08483424" w:rsidR="00345EFA" w:rsidRDefault="00345EFA" w:rsidP="00345EFA">
      <w:pPr>
        <w:rPr>
          <w:color w:val="auto"/>
        </w:rPr>
      </w:pPr>
      <w:r>
        <w:rPr>
          <w:color w:val="auto"/>
        </w:rPr>
        <w:lastRenderedPageBreak/>
        <w:t>Policy T3 – Amendments agreed</w:t>
      </w:r>
    </w:p>
    <w:p w14:paraId="1EC1B26F" w14:textId="7D54B0CD" w:rsidR="00345EFA" w:rsidRDefault="00DE040A" w:rsidP="00345EFA">
      <w:pPr>
        <w:rPr>
          <w:color w:val="auto"/>
        </w:rPr>
      </w:pPr>
      <w:r>
        <w:rPr>
          <w:color w:val="auto"/>
        </w:rPr>
        <w:t>Environmental Policies – No change.</w:t>
      </w:r>
    </w:p>
    <w:p w14:paraId="350F9485" w14:textId="31C18976" w:rsidR="00DE040A" w:rsidRDefault="00DE040A" w:rsidP="00345EFA">
      <w:pPr>
        <w:rPr>
          <w:color w:val="auto"/>
        </w:rPr>
      </w:pPr>
    </w:p>
    <w:p w14:paraId="40793323" w14:textId="2775362C" w:rsidR="00DE040A" w:rsidRDefault="00DE040A" w:rsidP="00345EFA">
      <w:r>
        <w:rPr>
          <w:color w:val="auto"/>
        </w:rPr>
        <w:t>5.12</w:t>
      </w:r>
      <w:r w:rsidR="00604CBC">
        <w:rPr>
          <w:color w:val="auto"/>
        </w:rPr>
        <w:t xml:space="preserve"> </w:t>
      </w:r>
      <w:r>
        <w:rPr>
          <w:color w:val="auto"/>
        </w:rPr>
        <w:t>The Plan confirms that t</w:t>
      </w:r>
      <w:r>
        <w:t>here is no stated need for commercial or industrial development in the countryside surrounding the Tetsworth settlement – Refer to the land use questionnaire.</w:t>
      </w:r>
    </w:p>
    <w:p w14:paraId="73C5FB24" w14:textId="77777777" w:rsidR="00DE040A" w:rsidRDefault="00DE040A" w:rsidP="00345EFA">
      <w:r>
        <w:t>JG to amend other wording in the policy.</w:t>
      </w:r>
    </w:p>
    <w:p w14:paraId="7C9343AB" w14:textId="77777777" w:rsidR="00DE040A" w:rsidRDefault="00DE040A" w:rsidP="00345EFA">
      <w:r>
        <w:t>Agreed</w:t>
      </w:r>
    </w:p>
    <w:p w14:paraId="3AD2477C" w14:textId="77777777" w:rsidR="00DE040A" w:rsidRDefault="00DE040A" w:rsidP="00345EFA"/>
    <w:p w14:paraId="07F699AE" w14:textId="77777777" w:rsidR="00DE040A" w:rsidRDefault="00DE040A" w:rsidP="00345EFA"/>
    <w:p w14:paraId="33000069" w14:textId="79ED6B0D" w:rsidR="00DE040A" w:rsidRDefault="00DE040A" w:rsidP="00345EFA">
      <w:r>
        <w:t>Appendix A may be removed as a result of the Conditions statement.</w:t>
      </w:r>
    </w:p>
    <w:p w14:paraId="2430C7D0" w14:textId="69F063F1" w:rsidR="00DE040A" w:rsidRDefault="00DE040A" w:rsidP="00345EFA">
      <w:r>
        <w:t>Agreed</w:t>
      </w:r>
    </w:p>
    <w:p w14:paraId="60336C45" w14:textId="2FCD6CD5" w:rsidR="00DE040A" w:rsidRDefault="00DE040A" w:rsidP="00345EFA"/>
    <w:p w14:paraId="76D4F214" w14:textId="33BBA342" w:rsidR="00DE040A" w:rsidRDefault="00DE040A" w:rsidP="00345EFA">
      <w:r>
        <w:t>Appendix B remains but may be amended.</w:t>
      </w:r>
    </w:p>
    <w:p w14:paraId="4072D772" w14:textId="7CB34174" w:rsidR="00DE040A" w:rsidRDefault="00DE040A" w:rsidP="00345EFA">
      <w:r>
        <w:t>Agreed</w:t>
      </w:r>
    </w:p>
    <w:p w14:paraId="03E2ED37" w14:textId="33B30403" w:rsidR="00DE040A" w:rsidRDefault="00DE040A" w:rsidP="00345EFA"/>
    <w:p w14:paraId="75ADC74B" w14:textId="26C39124" w:rsidR="00DE040A" w:rsidRDefault="00DE040A" w:rsidP="00345EFA"/>
    <w:p w14:paraId="37A3E686" w14:textId="05B87466" w:rsidR="00DE040A" w:rsidRDefault="00DE040A" w:rsidP="00345EFA">
      <w:r>
        <w:t>There was unanimous agreement that the Draft NP should be sent to ONH for review.</w:t>
      </w:r>
    </w:p>
    <w:p w14:paraId="10561EE3" w14:textId="52EB95EC" w:rsidR="00DE040A" w:rsidRDefault="00DE040A" w:rsidP="00345EFA"/>
    <w:p w14:paraId="5BE266EA" w14:textId="1EAE2C69" w:rsidR="00DE040A" w:rsidRDefault="00DE040A" w:rsidP="00DE040A">
      <w:r>
        <w:t xml:space="preserve">5. </w:t>
      </w:r>
      <w:r w:rsidRPr="00650913">
        <w:rPr>
          <w:b/>
        </w:rPr>
        <w:t>Key Views Assessment</w:t>
      </w:r>
      <w:r>
        <w:t xml:space="preserve"> - GS to act as liaison with MB for NPSG. CA Version 9 to be sent to MB</w:t>
      </w:r>
      <w:r w:rsidR="00604CBC">
        <w:t xml:space="preserve"> by AL</w:t>
      </w:r>
      <w:r>
        <w:t>. GS to clarify with MB when work will be carried out.</w:t>
      </w:r>
    </w:p>
    <w:p w14:paraId="3D277D0B" w14:textId="2EF4D0C9" w:rsidR="00DE040A" w:rsidRDefault="00DE040A" w:rsidP="00DE040A"/>
    <w:p w14:paraId="00FA74EF" w14:textId="2C29812A" w:rsidR="00DE040A" w:rsidRDefault="00DE040A" w:rsidP="00DE040A">
      <w:r>
        <w:t xml:space="preserve">6. </w:t>
      </w:r>
      <w:r w:rsidRPr="00650913">
        <w:rPr>
          <w:b/>
        </w:rPr>
        <w:t>NP Document Review</w:t>
      </w:r>
      <w:r>
        <w:t xml:space="preserve"> – Complete. JG will liaise and be point of contact f</w:t>
      </w:r>
      <w:r w:rsidR="00BD6929">
        <w:t>or ONH</w:t>
      </w:r>
    </w:p>
    <w:p w14:paraId="4F4CF535" w14:textId="5667E0FF" w:rsidR="00BD6929" w:rsidRDefault="00BD6929" w:rsidP="00DE040A"/>
    <w:p w14:paraId="6A2F824E" w14:textId="55839495" w:rsidR="00BD6929" w:rsidRDefault="00BD6929" w:rsidP="00DE040A">
      <w:r>
        <w:t xml:space="preserve">7. </w:t>
      </w:r>
      <w:r w:rsidRPr="00650913">
        <w:rPr>
          <w:b/>
        </w:rPr>
        <w:t>Any Other Business</w:t>
      </w:r>
      <w:r>
        <w:t xml:space="preserve"> – None.</w:t>
      </w:r>
    </w:p>
    <w:p w14:paraId="33E7E981" w14:textId="62F5B761" w:rsidR="00BD6929" w:rsidRDefault="00BD6929" w:rsidP="00DE040A"/>
    <w:p w14:paraId="0788E2F4" w14:textId="3CB4C95F" w:rsidR="00BD6929" w:rsidRDefault="00BD6929" w:rsidP="00BD6929">
      <w:pPr>
        <w:tabs>
          <w:tab w:val="left" w:pos="2977"/>
        </w:tabs>
      </w:pPr>
      <w:r>
        <w:t xml:space="preserve">8. </w:t>
      </w:r>
      <w:bookmarkStart w:id="1" w:name="_GoBack"/>
      <w:r w:rsidRPr="00650913">
        <w:rPr>
          <w:b/>
        </w:rPr>
        <w:t>Date of Next Meeting</w:t>
      </w:r>
      <w:r>
        <w:t xml:space="preserve"> </w:t>
      </w:r>
      <w:bookmarkEnd w:id="1"/>
      <w:r>
        <w:t>Wednesday 13</w:t>
      </w:r>
      <w:r w:rsidRPr="00BD6929">
        <w:rPr>
          <w:vertAlign w:val="superscript"/>
        </w:rPr>
        <w:t>th</w:t>
      </w:r>
      <w:r>
        <w:t xml:space="preserve"> February</w:t>
      </w:r>
    </w:p>
    <w:p w14:paraId="7E9E1727" w14:textId="11EB249D" w:rsidR="00BD6929" w:rsidRDefault="00BD6929" w:rsidP="00BD6929">
      <w:pPr>
        <w:tabs>
          <w:tab w:val="left" w:pos="2977"/>
        </w:tabs>
      </w:pPr>
    </w:p>
    <w:p w14:paraId="276AA05F" w14:textId="5D1E1799" w:rsidR="00DE040A" w:rsidRDefault="00BD6929" w:rsidP="00DE040A">
      <w:r>
        <w:t>Meeting closed at 9:17pm.</w:t>
      </w:r>
    </w:p>
    <w:p w14:paraId="32E36610" w14:textId="450D6690" w:rsidR="00DE040A" w:rsidRDefault="00DE040A" w:rsidP="00345EFA"/>
    <w:p w14:paraId="68C330DB" w14:textId="1A726E59" w:rsidR="00DE040A" w:rsidRDefault="00DE040A" w:rsidP="00345EFA">
      <w:pPr>
        <w:rPr>
          <w:color w:val="auto"/>
        </w:rPr>
      </w:pPr>
      <w:r>
        <w:t xml:space="preserve"> </w:t>
      </w:r>
    </w:p>
    <w:p w14:paraId="4690CEE2" w14:textId="77777777" w:rsidR="00345EFA" w:rsidRDefault="00345EFA" w:rsidP="00345EFA">
      <w:pPr>
        <w:rPr>
          <w:color w:val="auto"/>
        </w:rPr>
      </w:pPr>
    </w:p>
    <w:p w14:paraId="40040F52" w14:textId="77777777" w:rsidR="00345EFA" w:rsidRDefault="00345EFA" w:rsidP="00345EFA">
      <w:pPr>
        <w:rPr>
          <w:color w:val="auto"/>
        </w:rPr>
      </w:pPr>
    </w:p>
    <w:p w14:paraId="535BF259" w14:textId="3E4D8C16" w:rsidR="00345EFA" w:rsidRDefault="00345EFA" w:rsidP="00345EFA">
      <w:pPr>
        <w:rPr>
          <w:color w:val="auto"/>
        </w:rPr>
      </w:pPr>
      <w:r>
        <w:rPr>
          <w:color w:val="auto"/>
        </w:rPr>
        <w:t xml:space="preserve"> </w:t>
      </w:r>
    </w:p>
    <w:p w14:paraId="382D3315" w14:textId="390D7C6E" w:rsidR="00345EFA" w:rsidRDefault="00345EFA" w:rsidP="00345EFA">
      <w:pPr>
        <w:rPr>
          <w:rFonts w:asciiTheme="minorHAnsi" w:hAnsiTheme="minorHAnsi" w:cstheme="minorBidi"/>
          <w:color w:val="auto"/>
        </w:rPr>
      </w:pPr>
    </w:p>
    <w:p w14:paraId="556B4C98" w14:textId="77777777" w:rsidR="00345EFA" w:rsidRPr="00345EFA" w:rsidRDefault="00345EFA" w:rsidP="00345EFA">
      <w:pPr>
        <w:rPr>
          <w:rFonts w:asciiTheme="minorHAnsi" w:hAnsiTheme="minorHAnsi" w:cstheme="minorBidi"/>
          <w:color w:val="auto"/>
        </w:rPr>
      </w:pPr>
    </w:p>
    <w:p w14:paraId="002272E9" w14:textId="77777777" w:rsidR="00345EFA" w:rsidRDefault="00345EFA" w:rsidP="000F7142">
      <w:pPr>
        <w:rPr>
          <w:color w:val="auto"/>
        </w:rPr>
      </w:pPr>
    </w:p>
    <w:p w14:paraId="0B68D87A" w14:textId="77777777" w:rsidR="00345EFA" w:rsidRDefault="00345EFA" w:rsidP="000F7142">
      <w:pPr>
        <w:rPr>
          <w:color w:val="auto"/>
        </w:rPr>
      </w:pPr>
    </w:p>
    <w:p w14:paraId="5E10BE1F" w14:textId="435A876C" w:rsidR="00345EFA" w:rsidRDefault="00345EFA" w:rsidP="000F7142">
      <w:pPr>
        <w:rPr>
          <w:color w:val="auto"/>
        </w:rPr>
      </w:pPr>
    </w:p>
    <w:p w14:paraId="030A241D" w14:textId="77777777" w:rsidR="00345EFA" w:rsidRPr="000F7142" w:rsidRDefault="00345EFA" w:rsidP="000F7142">
      <w:pPr>
        <w:rPr>
          <w:color w:val="auto"/>
        </w:rPr>
      </w:pPr>
    </w:p>
    <w:p w14:paraId="76807F9C" w14:textId="2B53B0FD" w:rsidR="000F7142" w:rsidRDefault="000F7142" w:rsidP="000F7142">
      <w:pPr>
        <w:ind w:left="0"/>
        <w:rPr>
          <w:color w:val="auto"/>
        </w:rPr>
      </w:pPr>
    </w:p>
    <w:p w14:paraId="44B9A331" w14:textId="77777777" w:rsidR="000F7142" w:rsidRDefault="000F7142" w:rsidP="000F7142">
      <w:pPr>
        <w:ind w:left="0"/>
        <w:rPr>
          <w:color w:val="auto"/>
        </w:rPr>
      </w:pPr>
    </w:p>
    <w:p w14:paraId="213B5F5B" w14:textId="7DC5DA6E" w:rsidR="000F7142" w:rsidRDefault="000F7142" w:rsidP="000F7142">
      <w:pPr>
        <w:ind w:left="0"/>
        <w:rPr>
          <w:color w:val="auto"/>
        </w:rPr>
      </w:pPr>
    </w:p>
    <w:p w14:paraId="2A59ACE4" w14:textId="77777777" w:rsidR="000F7142" w:rsidRDefault="000F7142" w:rsidP="000F7142">
      <w:pPr>
        <w:ind w:left="0"/>
        <w:rPr>
          <w:color w:val="auto"/>
        </w:rPr>
      </w:pPr>
    </w:p>
    <w:p w14:paraId="753B2BE1" w14:textId="77777777" w:rsidR="0002693B" w:rsidRPr="005C2FFF" w:rsidRDefault="0002693B" w:rsidP="005F45DC">
      <w:pPr>
        <w:ind w:left="0"/>
        <w:rPr>
          <w:color w:val="auto"/>
        </w:rPr>
      </w:pPr>
    </w:p>
    <w:p w14:paraId="7325A004" w14:textId="3420B0FD" w:rsidR="005F45DC" w:rsidRPr="005F45DC" w:rsidRDefault="005F45DC" w:rsidP="00992E36">
      <w:pPr>
        <w:ind w:left="0"/>
        <w:rPr>
          <w:u w:val="single"/>
        </w:rPr>
      </w:pPr>
    </w:p>
    <w:p w14:paraId="25E93DB6" w14:textId="77777777" w:rsidR="005F45DC" w:rsidRDefault="005F45DC" w:rsidP="00992E36">
      <w:pPr>
        <w:ind w:left="0"/>
      </w:pPr>
    </w:p>
    <w:p w14:paraId="3CA81492" w14:textId="77777777" w:rsidR="005F45DC" w:rsidRDefault="005F45DC" w:rsidP="00992E36">
      <w:pPr>
        <w:ind w:left="0"/>
      </w:pPr>
    </w:p>
    <w:p w14:paraId="39BB1C8E" w14:textId="77777777" w:rsidR="00992E36" w:rsidRDefault="00992E36" w:rsidP="00992E36">
      <w:pPr>
        <w:ind w:left="0"/>
      </w:pPr>
    </w:p>
    <w:p w14:paraId="2D1B1760" w14:textId="11914087" w:rsidR="00992E36" w:rsidRDefault="00992E36" w:rsidP="00992E36">
      <w:pPr>
        <w:ind w:left="0"/>
      </w:pPr>
    </w:p>
    <w:p w14:paraId="32D21EDC" w14:textId="77777777" w:rsidR="00992E36" w:rsidRDefault="00992E36" w:rsidP="004D58C7">
      <w:pPr>
        <w:ind w:left="0"/>
      </w:pPr>
    </w:p>
    <w:p w14:paraId="0833BD3F" w14:textId="77777777" w:rsidR="00992E36" w:rsidRDefault="00992E36" w:rsidP="004D58C7">
      <w:pPr>
        <w:ind w:left="0"/>
      </w:pPr>
    </w:p>
    <w:p w14:paraId="398775EE" w14:textId="3E39BD38" w:rsidR="001D766C" w:rsidRDefault="001D766C" w:rsidP="001D766C"/>
    <w:sectPr w:rsidR="001D7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165C6"/>
    <w:multiLevelType w:val="hybridMultilevel"/>
    <w:tmpl w:val="4FD2AA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6C"/>
    <w:rsid w:val="0002693B"/>
    <w:rsid w:val="000F7142"/>
    <w:rsid w:val="001D766C"/>
    <w:rsid w:val="00224523"/>
    <w:rsid w:val="00345EFA"/>
    <w:rsid w:val="004D58C7"/>
    <w:rsid w:val="00565A28"/>
    <w:rsid w:val="005C2FFF"/>
    <w:rsid w:val="005F45DC"/>
    <w:rsid w:val="00604CBC"/>
    <w:rsid w:val="006100DB"/>
    <w:rsid w:val="006449E0"/>
    <w:rsid w:val="00650913"/>
    <w:rsid w:val="00681F4F"/>
    <w:rsid w:val="007C7EBE"/>
    <w:rsid w:val="007F46DA"/>
    <w:rsid w:val="00845F86"/>
    <w:rsid w:val="008529E3"/>
    <w:rsid w:val="00992E36"/>
    <w:rsid w:val="00A511C4"/>
    <w:rsid w:val="00A5409A"/>
    <w:rsid w:val="00A832B4"/>
    <w:rsid w:val="00AE6083"/>
    <w:rsid w:val="00B055C2"/>
    <w:rsid w:val="00BD6929"/>
    <w:rsid w:val="00DE040A"/>
    <w:rsid w:val="00DF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D129"/>
  <w15:chartTrackingRefBased/>
  <w15:docId w15:val="{1CC5F419-0B81-414E-98BD-5C242E9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83"/>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F4F"/>
    <w:pPr>
      <w:ind w:left="0"/>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8C7"/>
    <w:pPr>
      <w:ind w:left="720"/>
      <w:contextualSpacing/>
    </w:pPr>
  </w:style>
  <w:style w:type="paragraph" w:styleId="BalloonText">
    <w:name w:val="Balloon Text"/>
    <w:basedOn w:val="Normal"/>
    <w:link w:val="BalloonTextChar"/>
    <w:uiPriority w:val="99"/>
    <w:semiHidden/>
    <w:unhideWhenUsed/>
    <w:rsid w:val="00650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13"/>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151447">
      <w:bodyDiv w:val="1"/>
      <w:marLeft w:val="0"/>
      <w:marRight w:val="0"/>
      <w:marTop w:val="0"/>
      <w:marBottom w:val="0"/>
      <w:divBdr>
        <w:top w:val="none" w:sz="0" w:space="0" w:color="auto"/>
        <w:left w:val="none" w:sz="0" w:space="0" w:color="auto"/>
        <w:bottom w:val="none" w:sz="0" w:space="0" w:color="auto"/>
        <w:right w:val="none" w:sz="0" w:space="0" w:color="auto"/>
      </w:divBdr>
    </w:div>
    <w:div w:id="1375036005">
      <w:bodyDiv w:val="1"/>
      <w:marLeft w:val="0"/>
      <w:marRight w:val="0"/>
      <w:marTop w:val="0"/>
      <w:marBottom w:val="0"/>
      <w:divBdr>
        <w:top w:val="none" w:sz="0" w:space="0" w:color="auto"/>
        <w:left w:val="none" w:sz="0" w:space="0" w:color="auto"/>
        <w:bottom w:val="none" w:sz="0" w:space="0" w:color="auto"/>
        <w:right w:val="none" w:sz="0" w:space="0" w:color="auto"/>
      </w:divBdr>
    </w:div>
    <w:div w:id="20828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6</cp:revision>
  <cp:lastPrinted>2019-01-11T18:25:00Z</cp:lastPrinted>
  <dcterms:created xsi:type="dcterms:W3CDTF">2019-01-11T15:28:00Z</dcterms:created>
  <dcterms:modified xsi:type="dcterms:W3CDTF">2019-01-11T18:27:00Z</dcterms:modified>
</cp:coreProperties>
</file>